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E8A"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14:paraId="093E8150"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14:paraId="3DF390FC" w14:textId="7CF82A4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3F3E4F">
        <w:rPr>
          <w:rFonts w:ascii="Edwardian Script ITC" w:hAnsi="Edwardian Script ITC"/>
          <w:b/>
          <w:sz w:val="36"/>
          <w:szCs w:val="36"/>
        </w:rPr>
        <w:t>5</w:t>
      </w:r>
      <w:r w:rsidRPr="002C21DA">
        <w:rPr>
          <w:rFonts w:ascii="Edwardian Script ITC" w:hAnsi="Edwardian Script ITC"/>
          <w:b/>
          <w:sz w:val="36"/>
          <w:szCs w:val="36"/>
        </w:rPr>
        <w:t>-202</w:t>
      </w:r>
      <w:r w:rsidR="003F3E4F">
        <w:rPr>
          <w:rFonts w:ascii="Edwardian Script ITC" w:hAnsi="Edwardian Script ITC"/>
          <w:b/>
          <w:sz w:val="36"/>
          <w:szCs w:val="36"/>
        </w:rPr>
        <w:t>6</w:t>
      </w:r>
    </w:p>
    <w:p w14:paraId="440DF2DB" w14:textId="77777777"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14:paraId="662A9732" w14:textId="0F06DBC2"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5B163A" w:rsidRPr="00F861D7">
        <w:rPr>
          <w:rFonts w:eastAsia="Arial MT" w:cs="Arial"/>
          <w:b/>
          <w:lang w:val="es-ES" w:eastAsia="en-US"/>
        </w:rPr>
        <w:t xml:space="preserve">No. </w:t>
      </w:r>
      <w:r w:rsidR="005B163A">
        <w:rPr>
          <w:rFonts w:eastAsia="Arial MT" w:cs="Arial"/>
          <w:b/>
          <w:lang w:val="es-ES" w:eastAsia="en-US"/>
        </w:rPr>
        <w:t>603</w:t>
      </w:r>
      <w:r w:rsidR="005B163A" w:rsidRPr="00F861D7">
        <w:rPr>
          <w:rFonts w:eastAsia="Arial MT" w:cs="Arial"/>
          <w:b/>
          <w:lang w:val="es-ES" w:eastAsia="en-US"/>
        </w:rPr>
        <w:t xml:space="preserve"> DE 2025 CÁMARA – </w:t>
      </w:r>
      <w:r w:rsidR="005B163A">
        <w:rPr>
          <w:rFonts w:eastAsia="Arial MT" w:cs="Arial"/>
          <w:b/>
          <w:lang w:val="es-ES" w:eastAsia="en-US"/>
        </w:rPr>
        <w:t>014</w:t>
      </w:r>
      <w:r w:rsidR="005B163A" w:rsidRPr="00F861D7">
        <w:rPr>
          <w:rFonts w:eastAsia="Arial MT" w:cs="Arial"/>
          <w:b/>
          <w:lang w:val="es-ES" w:eastAsia="en-US"/>
        </w:rPr>
        <w:t xml:space="preserve"> DE 2024 SENADO </w:t>
      </w:r>
      <w:r w:rsidR="005B163A" w:rsidRPr="00FC6706">
        <w:rPr>
          <w:rFonts w:ascii="Arial MT" w:eastAsia="Arial MT" w:hAnsi="Arial MT" w:cs="Arial MT"/>
          <w:b/>
          <w:bCs/>
          <w:lang w:val="es-ES" w:eastAsia="es-CO"/>
        </w:rPr>
        <w:t xml:space="preserve">“POR MEDIO DE LA CUAL EL GOBIERNO NACIONAL </w:t>
      </w:r>
      <w:r w:rsidR="005B163A">
        <w:rPr>
          <w:rFonts w:ascii="Arial MT" w:eastAsia="Arial MT" w:hAnsi="Arial MT" w:cs="Arial MT"/>
          <w:b/>
          <w:bCs/>
          <w:lang w:val="es-ES" w:eastAsia="es-CO"/>
        </w:rPr>
        <w:t xml:space="preserve">ACTUALIZARÁ E IMPLEMENTARA LA POLÍTICA PÚBLICA INTEGRAL QUE GARANTICE </w:t>
      </w:r>
      <w:r w:rsidR="005B163A" w:rsidRPr="00FC6706">
        <w:rPr>
          <w:rFonts w:ascii="Arial MT" w:eastAsia="Arial MT" w:hAnsi="Arial MT" w:cs="Arial MT"/>
          <w:b/>
          <w:bCs/>
          <w:lang w:val="es-ES" w:eastAsia="es-CO"/>
        </w:rPr>
        <w:t xml:space="preserve">LA COBERTURA UNIVERSAL EN MATERIA DE </w:t>
      </w:r>
      <w:r w:rsidR="005B163A">
        <w:rPr>
          <w:rFonts w:ascii="Arial MT" w:eastAsia="Arial MT" w:hAnsi="Arial MT" w:cs="Arial MT"/>
          <w:b/>
          <w:bCs/>
          <w:lang w:val="es-ES" w:eastAsia="es-CO"/>
        </w:rPr>
        <w:t xml:space="preserve">PROMOCIÓN, </w:t>
      </w:r>
      <w:r w:rsidR="005B163A" w:rsidRPr="00FC6706">
        <w:rPr>
          <w:rFonts w:ascii="Arial MT" w:eastAsia="Arial MT" w:hAnsi="Arial MT" w:cs="Arial MT"/>
          <w:b/>
          <w:bCs/>
          <w:lang w:val="es-ES" w:eastAsia="es-CO"/>
        </w:rPr>
        <w:t>PREVENCIÓN,</w:t>
      </w:r>
      <w:r w:rsidR="005B163A">
        <w:rPr>
          <w:rFonts w:ascii="Arial MT" w:eastAsia="Arial MT" w:hAnsi="Arial MT" w:cs="Arial MT"/>
          <w:b/>
          <w:bCs/>
          <w:lang w:val="es-ES" w:eastAsia="es-CO"/>
        </w:rPr>
        <w:t xml:space="preserve"> DETECCIÓN, DIAGNOSTICO,</w:t>
      </w:r>
      <w:r w:rsidR="005B163A" w:rsidRPr="00FC6706">
        <w:rPr>
          <w:rFonts w:ascii="Arial MT" w:eastAsia="Arial MT" w:hAnsi="Arial MT" w:cs="Arial MT"/>
          <w:b/>
          <w:bCs/>
          <w:lang w:val="es-ES" w:eastAsia="es-CO"/>
        </w:rPr>
        <w:t xml:space="preserve"> ATENCIÓN, TRATAMIENTO Y CUIDADOS PALIATIVOS</w:t>
      </w:r>
      <w:r w:rsidR="005B163A">
        <w:rPr>
          <w:rFonts w:ascii="Arial MT" w:eastAsia="Arial MT" w:hAnsi="Arial MT" w:cs="Arial MT"/>
          <w:b/>
          <w:bCs/>
          <w:lang w:val="es-ES" w:eastAsia="es-CO"/>
        </w:rPr>
        <w:t xml:space="preserve"> DEL CANCER</w:t>
      </w:r>
      <w:r w:rsidR="005B163A" w:rsidRPr="00FC6706">
        <w:rPr>
          <w:rFonts w:ascii="Arial MT" w:eastAsia="Arial MT" w:hAnsi="Arial MT" w:cs="Arial MT"/>
          <w:b/>
          <w:bCs/>
          <w:lang w:val="es-ES" w:eastAsia="es-CO"/>
        </w:rPr>
        <w:t xml:space="preserve"> Y SE DICTAN OTRAS DISPOSICIONES”</w:t>
      </w:r>
      <w:r w:rsidR="005B163A" w:rsidRPr="000F1727">
        <w:rPr>
          <w:rFonts w:ascii="Arial MT" w:eastAsia="Arial MT" w:hAnsi="Arial MT" w:cs="Arial MT"/>
          <w:b/>
          <w:bCs/>
          <w:lang w:val="es-ES" w:eastAsia="es-CO"/>
        </w:rPr>
        <w:t>.</w:t>
      </w:r>
      <w:r w:rsidR="0080316C" w:rsidRPr="003206AC">
        <w:rPr>
          <w:rFonts w:cs="Arial"/>
          <w:b/>
        </w:rPr>
        <w:t xml:space="preserve"> </w:t>
      </w:r>
    </w:p>
    <w:p w14:paraId="0AF738A0" w14:textId="77777777" w:rsidR="00931B69" w:rsidRPr="003206AC" w:rsidRDefault="00931B69" w:rsidP="009A5477">
      <w:pPr>
        <w:pStyle w:val="Sinespaciado"/>
        <w:jc w:val="center"/>
        <w:rPr>
          <w:rFonts w:cs="Arial"/>
        </w:rPr>
      </w:pPr>
    </w:p>
    <w:p w14:paraId="49441556" w14:textId="554D8839" w:rsidR="00900D93" w:rsidRPr="003206AC" w:rsidRDefault="000F3249" w:rsidP="009A5477">
      <w:pPr>
        <w:pStyle w:val="Sinespaciado"/>
        <w:jc w:val="center"/>
        <w:rPr>
          <w:rFonts w:cs="Arial"/>
        </w:rPr>
      </w:pPr>
      <w:r w:rsidRPr="003206AC">
        <w:rPr>
          <w:rFonts w:cs="Arial"/>
        </w:rPr>
        <w:t>(Aprobado en la</w:t>
      </w:r>
      <w:r w:rsidR="00722B7D" w:rsidRPr="003206AC">
        <w:rPr>
          <w:rFonts w:cs="Arial"/>
        </w:rPr>
        <w:t xml:space="preserve"> sesión</w:t>
      </w:r>
      <w:r w:rsidR="00874E4E" w:rsidRPr="003206AC">
        <w:rPr>
          <w:rFonts w:cs="Arial"/>
        </w:rPr>
        <w:t xml:space="preserve"> presencial </w:t>
      </w:r>
      <w:r w:rsidR="00722B7D" w:rsidRPr="003206AC">
        <w:rPr>
          <w:rFonts w:cs="Arial"/>
        </w:rPr>
        <w:t>del</w:t>
      </w:r>
      <w:r w:rsidR="00874E4E" w:rsidRPr="003206AC">
        <w:rPr>
          <w:rFonts w:cs="Arial"/>
        </w:rPr>
        <w:t xml:space="preserve"> </w:t>
      </w:r>
      <w:r w:rsidR="00197D9B">
        <w:rPr>
          <w:rFonts w:cs="Arial"/>
        </w:rPr>
        <w:t>1</w:t>
      </w:r>
      <w:r w:rsidR="005B163A">
        <w:rPr>
          <w:rFonts w:cs="Arial"/>
        </w:rPr>
        <w:t>7</w:t>
      </w:r>
      <w:r w:rsidR="00197D9B">
        <w:rPr>
          <w:rFonts w:cs="Arial"/>
        </w:rPr>
        <w:t xml:space="preserve"> de septiembre </w:t>
      </w:r>
      <w:r w:rsidR="004C3EB2">
        <w:rPr>
          <w:rFonts w:cs="Arial"/>
        </w:rPr>
        <w:t>de 2025</w:t>
      </w:r>
      <w:r w:rsidR="009A5477" w:rsidRPr="003206AC">
        <w:rPr>
          <w:rFonts w:cs="Arial"/>
        </w:rPr>
        <w:t xml:space="preserve">, Comisión VII Constitucional </w:t>
      </w:r>
      <w:r w:rsidRPr="003206AC">
        <w:rPr>
          <w:rFonts w:cs="Arial"/>
        </w:rPr>
        <w:t xml:space="preserve">Permanente de la H. Cámara de Representantes, </w:t>
      </w:r>
      <w:r w:rsidR="009A5477" w:rsidRPr="003206AC">
        <w:rPr>
          <w:rFonts w:cs="Arial"/>
        </w:rPr>
        <w:t>a</w:t>
      </w:r>
      <w:r w:rsidRPr="003206AC">
        <w:rPr>
          <w:rFonts w:cs="Arial"/>
        </w:rPr>
        <w:t xml:space="preserve">cta No. </w:t>
      </w:r>
      <w:r w:rsidR="00197D9B">
        <w:rPr>
          <w:rFonts w:cs="Arial"/>
        </w:rPr>
        <w:t>1</w:t>
      </w:r>
      <w:r w:rsidR="005B163A">
        <w:rPr>
          <w:rFonts w:cs="Arial"/>
        </w:rPr>
        <w:t>1</w:t>
      </w:r>
      <w:r w:rsidRPr="003206AC">
        <w:rPr>
          <w:rFonts w:cs="Arial"/>
        </w:rPr>
        <w:t>)</w:t>
      </w:r>
    </w:p>
    <w:p w14:paraId="53F35B75" w14:textId="77777777"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EL CONGRESO DE COLOMBIA</w:t>
      </w:r>
    </w:p>
    <w:p w14:paraId="3A0881D4" w14:textId="77777777"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DECRETA:</w:t>
      </w:r>
    </w:p>
    <w:p w14:paraId="73697230" w14:textId="77777777" w:rsidR="00D410FE" w:rsidRPr="003206AC" w:rsidRDefault="00D410FE" w:rsidP="00D410FE">
      <w:pPr>
        <w:pStyle w:val="Sinespaciado"/>
        <w:spacing w:line="240" w:lineRule="atLeast"/>
        <w:rPr>
          <w:rFonts w:cs="Arial"/>
        </w:rPr>
      </w:pPr>
    </w:p>
    <w:p w14:paraId="0E533B8C" w14:textId="77777777" w:rsidR="00C2162E" w:rsidRPr="002461F5" w:rsidRDefault="00C2162E" w:rsidP="00C2162E">
      <w:pPr>
        <w:spacing w:line="240" w:lineRule="atLeast"/>
        <w:jc w:val="both"/>
        <w:rPr>
          <w:rFonts w:ascii="Arial" w:hAnsi="Arial" w:cs="Arial"/>
          <w:strike/>
          <w:highlight w:val="white"/>
        </w:rPr>
      </w:pPr>
      <w:r w:rsidRPr="002461F5">
        <w:rPr>
          <w:rFonts w:ascii="Arial" w:hAnsi="Arial" w:cs="Arial"/>
          <w:b/>
          <w:highlight w:val="white"/>
        </w:rPr>
        <w:t xml:space="preserve">Artículo 1°.  Objeto. </w:t>
      </w:r>
      <w:r w:rsidRPr="002461F5">
        <w:rPr>
          <w:rFonts w:ascii="Arial" w:hAnsi="Arial" w:cs="Arial"/>
          <w:highlight w:val="white"/>
        </w:rPr>
        <w:t xml:space="preserve">La presente ley tiene por objeto que el Gobierno Nacional actualicé e implementé la política pública integral que garantice la cobertura universal en materia de promoción, prevención, detección, diagnóstico, atención, tratamiento y cuidados paliativos para todos los tipos de cáncer, priorizando los de mayor incidencia y mortalidad. </w:t>
      </w:r>
    </w:p>
    <w:p w14:paraId="2FB89F65" w14:textId="77777777" w:rsidR="00C2162E" w:rsidRPr="002461F5" w:rsidRDefault="00C2162E" w:rsidP="00C2162E">
      <w:pPr>
        <w:spacing w:line="240" w:lineRule="atLeast"/>
        <w:jc w:val="both"/>
        <w:rPr>
          <w:rFonts w:ascii="Arial" w:hAnsi="Arial" w:cs="Arial"/>
          <w:highlight w:val="white"/>
        </w:rPr>
      </w:pPr>
      <w:r w:rsidRPr="002461F5">
        <w:rPr>
          <w:rFonts w:ascii="Arial" w:hAnsi="Arial" w:cs="Arial"/>
          <w:b/>
          <w:highlight w:val="white"/>
        </w:rPr>
        <w:t xml:space="preserve">Artículo 2°. Política Nacional de Lucha Contra el Cáncer. </w:t>
      </w:r>
      <w:r w:rsidRPr="002461F5">
        <w:rPr>
          <w:rFonts w:ascii="Arial" w:hAnsi="Arial" w:cs="Arial"/>
          <w:highlight w:val="white"/>
        </w:rPr>
        <w:t>El gobierno Nacional a través del Ministerio de Salud y Protección Social en su calidad de</w:t>
      </w:r>
      <w:r w:rsidRPr="002461F5">
        <w:rPr>
          <w:rFonts w:ascii="Arial" w:hAnsi="Arial" w:cs="Arial"/>
        </w:rPr>
        <w:t xml:space="preserve"> ente </w:t>
      </w:r>
      <w:r w:rsidRPr="002461F5">
        <w:rPr>
          <w:rFonts w:ascii="Arial" w:hAnsi="Arial" w:cs="Arial"/>
          <w:highlight w:val="white"/>
        </w:rPr>
        <w:t xml:space="preserve">rector del sector y sus entidades adscritas, actualizará la política pública con los siguientes componentes: </w:t>
      </w:r>
    </w:p>
    <w:p w14:paraId="7FF4EE21" w14:textId="77777777" w:rsidR="00C2162E" w:rsidRPr="002461F5" w:rsidRDefault="00C2162E" w:rsidP="00C2162E">
      <w:pPr>
        <w:spacing w:line="240" w:lineRule="atLeast"/>
        <w:jc w:val="both"/>
        <w:rPr>
          <w:rFonts w:ascii="Arial" w:hAnsi="Arial" w:cs="Arial"/>
          <w:highlight w:val="white"/>
        </w:rPr>
      </w:pPr>
      <w:r w:rsidRPr="002461F5">
        <w:rPr>
          <w:rFonts w:ascii="Arial" w:hAnsi="Arial" w:cs="Arial"/>
          <w:highlight w:val="white"/>
        </w:rPr>
        <w:t>1.</w:t>
      </w:r>
      <w:r w:rsidRPr="002461F5">
        <w:rPr>
          <w:rFonts w:ascii="Arial" w:eastAsia="Times New Roman" w:hAnsi="Arial" w:cs="Arial"/>
          <w:sz w:val="14"/>
          <w:szCs w:val="14"/>
          <w:highlight w:val="white"/>
        </w:rPr>
        <w:t xml:space="preserve">   </w:t>
      </w:r>
      <w:r w:rsidRPr="002461F5">
        <w:rPr>
          <w:rFonts w:ascii="Arial" w:hAnsi="Arial" w:cs="Arial"/>
          <w:highlight w:val="white"/>
        </w:rPr>
        <w:t xml:space="preserve">Creará un plan decenal exclusivo para el cáncer, en el que se garantizará la participación de todos los actores del sistema de salud para la construcción del mismo.  </w:t>
      </w:r>
    </w:p>
    <w:p w14:paraId="775BF39D" w14:textId="77777777" w:rsidR="00C2162E" w:rsidRPr="002461F5" w:rsidRDefault="00C2162E" w:rsidP="00C2162E">
      <w:pPr>
        <w:spacing w:line="240" w:lineRule="atLeast"/>
        <w:jc w:val="both"/>
        <w:rPr>
          <w:rFonts w:ascii="Arial" w:hAnsi="Arial" w:cs="Arial"/>
          <w:highlight w:val="white"/>
        </w:rPr>
      </w:pPr>
      <w:r w:rsidRPr="002461F5">
        <w:rPr>
          <w:rFonts w:ascii="Arial" w:hAnsi="Arial" w:cs="Arial"/>
          <w:highlight w:val="white"/>
        </w:rPr>
        <w:t>2.</w:t>
      </w:r>
      <w:r w:rsidRPr="002461F5">
        <w:rPr>
          <w:rFonts w:ascii="Arial" w:eastAsia="Times New Roman" w:hAnsi="Arial" w:cs="Arial"/>
          <w:sz w:val="14"/>
          <w:szCs w:val="14"/>
          <w:highlight w:val="white"/>
        </w:rPr>
        <w:t xml:space="preserve">  </w:t>
      </w:r>
      <w:r w:rsidRPr="002461F5">
        <w:rPr>
          <w:rFonts w:ascii="Arial" w:hAnsi="Arial" w:cs="Arial"/>
          <w:highlight w:val="white"/>
        </w:rPr>
        <w:t xml:space="preserve">Creará una estrategia pública educativa integral que promueva el autocuidado desde niveles básicos de formación, incluyendo programas de pregrado en áreas de la salud y otras disciplinas, para generar una cultura de prevención y detección temprana </w:t>
      </w:r>
      <w:r w:rsidRPr="002461F5">
        <w:rPr>
          <w:rFonts w:ascii="Arial" w:hAnsi="Arial" w:cs="Arial"/>
        </w:rPr>
        <w:t>del cáncer</w:t>
      </w:r>
    </w:p>
    <w:p w14:paraId="495CD326" w14:textId="45E688C6" w:rsidR="00C2162E" w:rsidRPr="002461F5" w:rsidRDefault="00C2162E" w:rsidP="00C2162E">
      <w:pPr>
        <w:shd w:val="clear" w:color="auto" w:fill="FFFFFF"/>
        <w:spacing w:line="240" w:lineRule="atLeast"/>
        <w:jc w:val="both"/>
        <w:rPr>
          <w:rFonts w:ascii="Arial" w:hAnsi="Arial" w:cs="Arial"/>
          <w:highlight w:val="white"/>
        </w:rPr>
      </w:pPr>
      <w:r w:rsidRPr="002461F5">
        <w:rPr>
          <w:rFonts w:ascii="Arial" w:hAnsi="Arial" w:cs="Arial"/>
          <w:highlight w:val="white"/>
        </w:rPr>
        <w:t>3.</w:t>
      </w:r>
      <w:r w:rsidRPr="002461F5">
        <w:rPr>
          <w:rFonts w:ascii="Arial" w:eastAsia="Times New Roman" w:hAnsi="Arial" w:cs="Arial"/>
          <w:sz w:val="14"/>
          <w:szCs w:val="14"/>
          <w:highlight w:val="white"/>
        </w:rPr>
        <w:t xml:space="preserve"> </w:t>
      </w:r>
      <w:r w:rsidRPr="002461F5">
        <w:rPr>
          <w:rFonts w:ascii="Arial" w:hAnsi="Arial" w:cs="Arial"/>
          <w:highlight w:val="white"/>
        </w:rPr>
        <w:t xml:space="preserve">Creará un sistema de vigilancia y seguimiento robusto </w:t>
      </w:r>
      <w:r w:rsidR="00711B0E">
        <w:rPr>
          <w:rFonts w:ascii="Arial" w:hAnsi="Arial" w:cs="Arial"/>
          <w:highlight w:val="white"/>
        </w:rPr>
        <w:t xml:space="preserve">articulado con el Registro Poblacional de Cáncer de Colombia (RPCC) </w:t>
      </w:r>
      <w:r w:rsidRPr="002461F5">
        <w:rPr>
          <w:rFonts w:ascii="Arial" w:hAnsi="Arial" w:cs="Arial"/>
          <w:highlight w:val="white"/>
        </w:rPr>
        <w:t>que permita evaluar los componentes de la política pública y los programas existentes de diagnóstico y atención del cáncer, en articulación y participación activa de los entes de control.</w:t>
      </w:r>
    </w:p>
    <w:p w14:paraId="413DC954"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highlight w:val="white"/>
        </w:rPr>
        <w:t>Artículo 3°. Ámbito de Aplicación.</w:t>
      </w:r>
      <w:r w:rsidRPr="002461F5">
        <w:rPr>
          <w:rFonts w:ascii="Arial" w:hAnsi="Arial" w:cs="Arial"/>
          <w:highlight w:val="white"/>
        </w:rPr>
        <w:t xml:space="preserve"> Los principios y disposiciones contenidas en la presente ley para el cáncer son aplicables a: </w:t>
      </w:r>
    </w:p>
    <w:p w14:paraId="7A616D09" w14:textId="77777777" w:rsidR="00C2162E" w:rsidRPr="002461F5" w:rsidRDefault="00C2162E" w:rsidP="00C2162E">
      <w:pPr>
        <w:spacing w:after="160" w:line="240" w:lineRule="atLeast"/>
        <w:jc w:val="both"/>
        <w:rPr>
          <w:rFonts w:ascii="Arial" w:hAnsi="Arial" w:cs="Arial"/>
          <w:strike/>
          <w:highlight w:val="white"/>
        </w:rPr>
      </w:pPr>
      <w:r w:rsidRPr="002461F5">
        <w:rPr>
          <w:rFonts w:ascii="Arial" w:hAnsi="Arial" w:cs="Arial"/>
          <w:highlight w:val="white"/>
        </w:rPr>
        <w:t>a. A toda la población colombiana en general con cualquier patología de cáncer, los pacientes susceptibles a ser tamizados y/o con riesgo de desarrollar cualquier tipo de cáncer o diagnosticados con el mismo en cualquier estado.</w:t>
      </w:r>
    </w:p>
    <w:p w14:paraId="06A0E417"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highlight w:val="white"/>
        </w:rPr>
        <w:t xml:space="preserve">b. Todos los profesionales de la salud que intervengan en el proceso de detección temprana, atención, integral, seguimiento y rehabilitación de pacientes con sospecha o diagnóstico de cáncer en todos los niveles de complejidad. </w:t>
      </w:r>
    </w:p>
    <w:p w14:paraId="655AF688"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highlight w:val="white"/>
        </w:rPr>
        <w:lastRenderedPageBreak/>
        <w:t>c. Las Entidades Administradoras de Planes de Beneficios (EAPB), los regímenes especiales y de excepción, las entidades territoriales responsables de la población pobre no</w:t>
      </w:r>
    </w:p>
    <w:p w14:paraId="6DB0B7BD"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highlight w:val="white"/>
        </w:rPr>
        <w:t xml:space="preserve">asegurada, las demás entidades de aseguramiento y las Instituciones Prestadoras de Servicios de Salud (IPS), tanto públicas como privadas y los Proveedores de Tecnologías en Salud, incluidos los Gestores Farmacéuticos y Operadores Logísticos de Tecnologías en Salud. </w:t>
      </w:r>
    </w:p>
    <w:p w14:paraId="2F85C2ED"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highlight w:val="white"/>
        </w:rPr>
        <w:t xml:space="preserve">d. Las Autoridades Nacionales, Departamentales, Distritales y Municipales de Salud adoptarán lo pertinente para dar cumplimiento a lo ordenado en la presente ley. </w:t>
      </w:r>
    </w:p>
    <w:p w14:paraId="3993BBEA"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highlight w:val="white"/>
        </w:rPr>
        <w:t>e. Demás entidades que intervengan directa o indirectamente en la cadena de suministro de medicamentos, dispositivos médicos y otras tecnologías requeridas para la atención integral del cáncer.</w:t>
      </w:r>
    </w:p>
    <w:p w14:paraId="739CD439"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highlight w:val="white"/>
        </w:rPr>
        <w:t>Artículo 4°. Implementación y Tratamiento.</w:t>
      </w:r>
      <w:r w:rsidRPr="002461F5">
        <w:rPr>
          <w:rFonts w:ascii="Arial" w:hAnsi="Arial" w:cs="Arial"/>
          <w:highlight w:val="white"/>
        </w:rPr>
        <w:t xml:space="preserve"> El Ministerio de Salud y Protección Social </w:t>
      </w:r>
      <w:r w:rsidRPr="002461F5">
        <w:rPr>
          <w:rFonts w:ascii="Arial" w:hAnsi="Arial" w:cs="Arial"/>
        </w:rPr>
        <w:t xml:space="preserve">y </w:t>
      </w:r>
      <w:r w:rsidRPr="002461F5">
        <w:rPr>
          <w:rFonts w:ascii="Arial" w:hAnsi="Arial" w:cs="Arial"/>
          <w:highlight w:val="white"/>
        </w:rPr>
        <w:t xml:space="preserve">sus entidades adscritas, implementarán mecanismos para la adquisición en el mercado nacional e internacional de productos farmacéuticos, dispositivos médicos y otras tecnologías en salud que sean necesarios para el tratamiento de todas las patologías oncológicas en el país, priorizando las estrategias de suministro de estos ante situaciones de desabastecimiento o escasez. </w:t>
      </w:r>
    </w:p>
    <w:p w14:paraId="62869534"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highlight w:val="white"/>
        </w:rPr>
        <w:t>Parágrafo.</w:t>
      </w:r>
      <w:r w:rsidRPr="002461F5">
        <w:rPr>
          <w:rFonts w:ascii="Arial" w:hAnsi="Arial" w:cs="Arial"/>
          <w:highlight w:val="white"/>
        </w:rPr>
        <w:t xml:space="preserve"> El ministerio de Salud y Protección Social deberá contar previo la aplicación de este artículo, con el sustento técnico que permita demostrar la conveniencia de la compra de los dispositivos, equipamiento, medicamentos y la aplicación de los tratamientos a todas las enfermedades oncológicas en el país</w:t>
      </w:r>
    </w:p>
    <w:p w14:paraId="64F16580"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highlight w:val="white"/>
        </w:rPr>
        <w:t>Artículo 5°. Autorización de Medicamentos.</w:t>
      </w:r>
      <w:r w:rsidRPr="002461F5">
        <w:rPr>
          <w:rFonts w:ascii="Arial" w:hAnsi="Arial" w:cs="Arial"/>
          <w:highlight w:val="white"/>
        </w:rPr>
        <w:t xml:space="preserve"> El Ministerio de Salud y Protección Social a través del Instituto Nacional de Vigilancia de Medicamentos y Alimentos -INVIMA-, o la entidad que haga sus veces, priorizará la evaluación de todos los medicamentos para el diagnóstico y tratamiento contra el cáncer, con el fin de que estos puedan ser utilizados en el menor tiempo posible en los tratamientos de toda la población afectada por esta enfermedad en el país. </w:t>
      </w:r>
    </w:p>
    <w:p w14:paraId="1BCFC914"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highlight w:val="white"/>
        </w:rPr>
        <w:t>Parágrafo 1°.</w:t>
      </w:r>
      <w:r w:rsidRPr="002461F5">
        <w:rPr>
          <w:rFonts w:ascii="Arial" w:hAnsi="Arial" w:cs="Arial"/>
          <w:highlight w:val="white"/>
        </w:rPr>
        <w:t xml:space="preserve"> Una vez se cumpla con los requisitos solicitados por el INVIMA para iniciar el trámite de autorización de nuevos medicamentos y tratamientos para cualquier tipo de cáncer, la respuesta a esta evaluación no puede ser mayor a seis (6) meses, con el fin de garantizar el acceso a los pacientes con sospecha o diagnóstico de cáncer en el país, en el menor tiempo posible.</w:t>
      </w:r>
    </w:p>
    <w:p w14:paraId="0D61B51F"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highlight w:val="white"/>
        </w:rPr>
        <w:t>Parágrafo 2°.</w:t>
      </w:r>
      <w:r w:rsidRPr="002461F5">
        <w:rPr>
          <w:rFonts w:ascii="Arial" w:hAnsi="Arial" w:cs="Arial"/>
          <w:highlight w:val="white"/>
        </w:rPr>
        <w:t xml:space="preserve"> En caso de que un medicamento éste desabastecido, en riesgo de desabastecimiento o que se establezca su escasez ante la demanda de la población, el INVIMA no podrá superar tres (3) meses en definir la respuesta a la evaluación con el fin de realizar las modificaciones necesarias que permitan el reemplazo terapéutico de la línea de manejo oncológico requerida</w:t>
      </w:r>
    </w:p>
    <w:p w14:paraId="786E2A38" w14:textId="77777777" w:rsidR="00C2162E" w:rsidRPr="002461F5" w:rsidRDefault="00C2162E" w:rsidP="00C2162E">
      <w:pPr>
        <w:spacing w:after="160" w:line="240" w:lineRule="atLeast"/>
        <w:jc w:val="both"/>
        <w:rPr>
          <w:rFonts w:ascii="Arial" w:hAnsi="Arial" w:cs="Arial"/>
        </w:rPr>
      </w:pPr>
      <w:r w:rsidRPr="002461F5">
        <w:rPr>
          <w:rFonts w:ascii="Arial" w:hAnsi="Arial" w:cs="Arial"/>
          <w:b/>
        </w:rPr>
        <w:t>Artículo 6°. Atención e Integralidad en el Manejo de la Enfermedad.</w:t>
      </w:r>
      <w:r w:rsidRPr="002461F5">
        <w:rPr>
          <w:rFonts w:ascii="Arial" w:hAnsi="Arial" w:cs="Arial"/>
        </w:rPr>
        <w:t xml:space="preserve"> Las Entidades Promotoras de Servicios de Salud (EPS), del régimen contributivo y subsidiado, incluyendo los regímenes especial y de excepción,</w:t>
      </w:r>
      <w:r w:rsidRPr="002461F5">
        <w:rPr>
          <w:rFonts w:ascii="Arial" w:hAnsi="Arial" w:cs="Arial"/>
          <w:b/>
        </w:rPr>
        <w:t xml:space="preserve"> </w:t>
      </w:r>
      <w:r w:rsidRPr="002461F5">
        <w:rPr>
          <w:rFonts w:ascii="Arial" w:hAnsi="Arial" w:cs="Arial"/>
        </w:rPr>
        <w:t>Entidades Administradoras de Planes de Beneficios  (EAPB) y Entidades Obligadas a Compensar (EOC),  las entidades territoriales responsables de la población pobre no asegurada, las demás entidades de aseguramiento e IPS garantizarán la atención e integralidad a todos los pacientes con  cáncer, en el manejo de la enfermedad y el acceso a los tratamientos.</w:t>
      </w:r>
      <w:r w:rsidRPr="002461F5">
        <w:rPr>
          <w:rFonts w:ascii="Arial" w:hAnsi="Arial" w:cs="Arial"/>
          <w:strike/>
        </w:rPr>
        <w:t xml:space="preserve"> </w:t>
      </w:r>
    </w:p>
    <w:p w14:paraId="35569CE2" w14:textId="77777777"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rPr>
        <w:t>P</w:t>
      </w:r>
      <w:r w:rsidRPr="002461F5">
        <w:rPr>
          <w:rFonts w:ascii="Arial" w:hAnsi="Arial" w:cs="Arial"/>
          <w:b/>
          <w:highlight w:val="white"/>
        </w:rPr>
        <w:t>arágrafo 1°.</w:t>
      </w:r>
      <w:r w:rsidRPr="002461F5">
        <w:rPr>
          <w:rFonts w:ascii="Arial" w:hAnsi="Arial" w:cs="Arial"/>
          <w:highlight w:val="white"/>
        </w:rPr>
        <w:t xml:space="preserve"> Las anteriores entidades implementarán gratuitamente, como medida importante para la prevención y el adecuado diagnóstico, clasificación, manejo y pronóstico de la enfermedad, la realización de pruebas genéticas y biomarcadores que los médicos especialistas tratantes consideren pertinentes, independientemente del régimen al cual pertenezcan.</w:t>
      </w:r>
    </w:p>
    <w:p w14:paraId="56CD4B5D" w14:textId="16D9B4C5" w:rsidR="00C2162E" w:rsidRPr="002461F5" w:rsidRDefault="00C2162E" w:rsidP="00C2162E">
      <w:pPr>
        <w:spacing w:after="160" w:line="240" w:lineRule="atLeast"/>
        <w:jc w:val="both"/>
        <w:rPr>
          <w:rFonts w:ascii="Arial" w:hAnsi="Arial" w:cs="Arial"/>
          <w:highlight w:val="white"/>
        </w:rPr>
      </w:pPr>
      <w:r w:rsidRPr="002461F5">
        <w:rPr>
          <w:rFonts w:ascii="Arial" w:hAnsi="Arial" w:cs="Arial"/>
          <w:b/>
          <w:highlight w:val="white"/>
        </w:rPr>
        <w:lastRenderedPageBreak/>
        <w:t>Parágrafo 2°.</w:t>
      </w:r>
      <w:r w:rsidRPr="002461F5">
        <w:rPr>
          <w:rFonts w:ascii="Arial" w:hAnsi="Arial" w:cs="Arial"/>
          <w:highlight w:val="white"/>
        </w:rPr>
        <w:t xml:space="preserve"> Se incluirá para todos los pacientes con cáncer en el país, el uso de tratamientos innovadores en terapias</w:t>
      </w:r>
      <w:r w:rsidR="002461F5">
        <w:rPr>
          <w:rFonts w:ascii="Arial" w:hAnsi="Arial" w:cs="Arial"/>
          <w:highlight w:val="white"/>
        </w:rPr>
        <w:t xml:space="preserve"> con evidencia científica</w:t>
      </w:r>
      <w:r w:rsidRPr="002461F5">
        <w:rPr>
          <w:rFonts w:ascii="Arial" w:hAnsi="Arial" w:cs="Arial"/>
          <w:highlight w:val="white"/>
        </w:rPr>
        <w:t xml:space="preserve">, que permitan superar la enfermedad, u ofrecer una mejor calidad de vida a los pacientes, independientemente del régimen al cual pertenezcan. </w:t>
      </w:r>
    </w:p>
    <w:p w14:paraId="1CD110A5" w14:textId="77777777" w:rsidR="00C2162E" w:rsidRPr="002461F5" w:rsidRDefault="00C2162E" w:rsidP="00C2162E">
      <w:pPr>
        <w:spacing w:after="160" w:line="240" w:lineRule="atLeast"/>
        <w:jc w:val="both"/>
        <w:rPr>
          <w:rFonts w:ascii="Arial" w:eastAsia="Times New Roman" w:hAnsi="Arial" w:cs="Arial"/>
          <w:b/>
          <w:sz w:val="24"/>
          <w:szCs w:val="24"/>
        </w:rPr>
      </w:pPr>
      <w:r w:rsidRPr="002461F5">
        <w:rPr>
          <w:rFonts w:ascii="Arial" w:hAnsi="Arial" w:cs="Arial"/>
          <w:b/>
        </w:rPr>
        <w:t>Parágrafo 3°.</w:t>
      </w:r>
      <w:r w:rsidRPr="002461F5">
        <w:rPr>
          <w:rFonts w:ascii="Arial" w:hAnsi="Arial" w:cs="Arial"/>
        </w:rPr>
        <w:t xml:space="preserve"> EL Gobierno Nacional, con el asocio del sector privado, implementará campañas de educación y programas de vacunación gratuita en todo el territorio nacional (incluyendo lugares apartados de difícil acceso), con el fin de tener un impacto significativo en la reducción de la incidencia de cánceres prevenibles en el largo plazo.</w:t>
      </w:r>
      <w:r w:rsidRPr="002461F5">
        <w:rPr>
          <w:rFonts w:ascii="Arial" w:hAnsi="Arial" w:cs="Arial"/>
          <w:b/>
          <w:color w:val="000000"/>
        </w:rPr>
        <w:t> </w:t>
      </w:r>
    </w:p>
    <w:p w14:paraId="1B7845F6" w14:textId="3A6F140F" w:rsidR="00C2162E" w:rsidRPr="002461F5" w:rsidRDefault="00C2162E" w:rsidP="00C2162E">
      <w:pPr>
        <w:spacing w:after="160" w:line="240" w:lineRule="atLeast"/>
        <w:jc w:val="both"/>
        <w:rPr>
          <w:rFonts w:ascii="Arial" w:hAnsi="Arial" w:cs="Arial"/>
        </w:rPr>
      </w:pPr>
      <w:r w:rsidRPr="002461F5">
        <w:rPr>
          <w:rFonts w:ascii="Arial" w:hAnsi="Arial" w:cs="Arial"/>
          <w:b/>
        </w:rPr>
        <w:t>Artículo 7°. Cátedra Universitaria.</w:t>
      </w:r>
      <w:r w:rsidRPr="002461F5">
        <w:rPr>
          <w:rFonts w:ascii="Arial" w:hAnsi="Arial" w:cs="Arial"/>
        </w:rPr>
        <w:t xml:space="preserve"> El ministerio de educación Nacional, en coordinación con el Ministerio de Salud y Protección Social y el Instituto Nacional de Cancerología -INC-, </w:t>
      </w:r>
      <w:r w:rsidR="002461F5">
        <w:rPr>
          <w:rFonts w:ascii="Arial" w:hAnsi="Arial" w:cs="Arial"/>
        </w:rPr>
        <w:t>podrá</w:t>
      </w:r>
      <w:r w:rsidRPr="002461F5">
        <w:rPr>
          <w:rFonts w:ascii="Arial" w:hAnsi="Arial" w:cs="Arial"/>
        </w:rPr>
        <w:t xml:space="preserve"> una cátedra sobre prevención, diagnóstico, tratamiento, rehabilitación y cuidados paliativos del cáncer en general, en los programas de pregrado de Medicina, Enfermería, Salud Pública y demás áreas biomédicas directamente relacionadas con la atención oncológica</w:t>
      </w:r>
      <w:r w:rsidR="002461F5">
        <w:rPr>
          <w:rFonts w:ascii="Arial" w:hAnsi="Arial" w:cs="Arial"/>
        </w:rPr>
        <w:t>, en el marco de su autonomía universitaria</w:t>
      </w:r>
      <w:r w:rsidRPr="002461F5">
        <w:rPr>
          <w:rFonts w:ascii="Arial" w:hAnsi="Arial" w:cs="Arial"/>
        </w:rPr>
        <w:t>.</w:t>
      </w:r>
    </w:p>
    <w:p w14:paraId="6AAEBDE1" w14:textId="339A7CE8"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 xml:space="preserve">La cátedra </w:t>
      </w:r>
      <w:r w:rsidR="002461F5">
        <w:rPr>
          <w:rFonts w:ascii="Arial" w:hAnsi="Arial" w:cs="Arial"/>
        </w:rPr>
        <w:t>podrá</w:t>
      </w:r>
      <w:r w:rsidRPr="002461F5">
        <w:rPr>
          <w:rFonts w:ascii="Arial" w:hAnsi="Arial" w:cs="Arial"/>
        </w:rPr>
        <w:t xml:space="preserve"> contemplar como mínimo los siguientes módulos:</w:t>
      </w:r>
    </w:p>
    <w:p w14:paraId="2E519A4A" w14:textId="38DD4771"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 xml:space="preserve"> 1. Epidemiología del cáncer en Colombia.</w:t>
      </w:r>
    </w:p>
    <w:p w14:paraId="0B98D982" w14:textId="77777777"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2. Factores de riesgo modificables y no modificables.</w:t>
      </w:r>
    </w:p>
    <w:p w14:paraId="01DD14CA" w14:textId="77777777"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3. Estrategias de detección temprana, tamizaje y atención oportuna.</w:t>
      </w:r>
    </w:p>
    <w:p w14:paraId="19734494" w14:textId="77777777"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4. Educación comunitaria, promoción de estilos de vida saludables y comunicación de riesgos.</w:t>
      </w:r>
    </w:p>
    <w:p w14:paraId="761AA846" w14:textId="77777777"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5. Determinantes sociales y comerciales de la salud en relación con el cáncer.</w:t>
      </w:r>
    </w:p>
    <w:p w14:paraId="77B67359" w14:textId="77777777"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6. Factores ocupacionales y ambientales asociados al cáncer.</w:t>
      </w:r>
    </w:p>
    <w:p w14:paraId="2D740928" w14:textId="77777777"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rPr>
        <w:t>7. Rol del sistema de salud nacional e instituciones especializadas.</w:t>
      </w:r>
    </w:p>
    <w:p w14:paraId="4B37400D" w14:textId="4F86155A"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b/>
        </w:rPr>
        <w:t>Parágrafo 1°.</w:t>
      </w:r>
      <w:r w:rsidRPr="002461F5">
        <w:rPr>
          <w:rFonts w:ascii="Arial" w:hAnsi="Arial" w:cs="Arial"/>
        </w:rPr>
        <w:t xml:space="preserve"> El Ministerio de Educación y el Ministerio de Salud definirán los estándares académicos, contenidos mínimos, metodologías y herramientas pedagógicas, así como mecanismos de actualización periódica de la cátedra. </w:t>
      </w:r>
      <w:r w:rsidR="002461F5">
        <w:rPr>
          <w:rFonts w:ascii="Arial" w:hAnsi="Arial" w:cs="Arial"/>
        </w:rPr>
        <w:t xml:space="preserve">Respetando en todo caso el principio constitucional de autonomía universitaria. </w:t>
      </w:r>
      <w:r w:rsidRPr="002461F5">
        <w:rPr>
          <w:rFonts w:ascii="Arial" w:hAnsi="Arial" w:cs="Arial"/>
        </w:rPr>
        <w:t>Para este propósito se tomarán como referencia las cátedras existentes a nivel nacional e internacional, asegurando su alineación con la evidencia científica más reciente y con las políticas públicas de cáncer vigentes.</w:t>
      </w:r>
    </w:p>
    <w:p w14:paraId="3A0A0662" w14:textId="2D174C2B" w:rsidR="00C2162E" w:rsidRPr="002461F5" w:rsidRDefault="00C2162E" w:rsidP="00C2162E">
      <w:pPr>
        <w:shd w:val="clear" w:color="auto" w:fill="FFFFFF"/>
        <w:spacing w:line="240" w:lineRule="atLeast"/>
        <w:jc w:val="both"/>
        <w:rPr>
          <w:rFonts w:ascii="Arial" w:hAnsi="Arial" w:cs="Arial"/>
        </w:rPr>
      </w:pPr>
      <w:r w:rsidRPr="002461F5">
        <w:rPr>
          <w:rFonts w:ascii="Arial" w:hAnsi="Arial" w:cs="Arial"/>
          <w:b/>
        </w:rPr>
        <w:t>Parágrafo 2°.</w:t>
      </w:r>
      <w:r w:rsidRPr="002461F5">
        <w:rPr>
          <w:rFonts w:ascii="Arial" w:hAnsi="Arial" w:cs="Arial"/>
        </w:rPr>
        <w:t xml:space="preserve"> Las instituciones de educación superior </w:t>
      </w:r>
      <w:r w:rsidR="002461F5">
        <w:rPr>
          <w:rFonts w:ascii="Arial" w:hAnsi="Arial" w:cs="Arial"/>
        </w:rPr>
        <w:t>podrá</w:t>
      </w:r>
      <w:r w:rsidRPr="002461F5">
        <w:rPr>
          <w:rFonts w:ascii="Arial" w:hAnsi="Arial" w:cs="Arial"/>
        </w:rPr>
        <w:t xml:space="preserve"> presentar, </w:t>
      </w:r>
      <w:r w:rsidR="002461F5">
        <w:rPr>
          <w:rFonts w:ascii="Arial" w:hAnsi="Arial" w:cs="Arial"/>
        </w:rPr>
        <w:t>de manera progresiva</w:t>
      </w:r>
      <w:r w:rsidRPr="002461F5">
        <w:rPr>
          <w:rFonts w:ascii="Arial" w:hAnsi="Arial" w:cs="Arial"/>
        </w:rPr>
        <w:t>, un plan curricular que incorpore la cátedra. El Ministerio de Educación y el Ministerio de Salud evaluará</w:t>
      </w:r>
      <w:r w:rsidR="002461F5">
        <w:rPr>
          <w:rFonts w:ascii="Arial" w:hAnsi="Arial" w:cs="Arial"/>
        </w:rPr>
        <w:t xml:space="preserve"> la</w:t>
      </w:r>
      <w:r w:rsidRPr="002461F5">
        <w:rPr>
          <w:rFonts w:ascii="Arial" w:hAnsi="Arial" w:cs="Arial"/>
        </w:rPr>
        <w:t xml:space="preserve"> implementación</w:t>
      </w:r>
      <w:r w:rsidR="002461F5">
        <w:rPr>
          <w:rFonts w:ascii="Arial" w:hAnsi="Arial" w:cs="Arial"/>
        </w:rPr>
        <w:t xml:space="preserve"> de las cátedras a que hace referencia este artículo</w:t>
      </w:r>
      <w:r w:rsidRPr="002461F5">
        <w:rPr>
          <w:rFonts w:ascii="Arial" w:hAnsi="Arial" w:cs="Arial"/>
        </w:rPr>
        <w:t xml:space="preserve"> con un informe intermedio a los dos (2) años y una evaluación integral a los cinco (5) años</w:t>
      </w:r>
      <w:r w:rsidR="002461F5">
        <w:rPr>
          <w:rFonts w:ascii="Arial" w:hAnsi="Arial" w:cs="Arial"/>
        </w:rPr>
        <w:t xml:space="preserve"> de expedida esta Ley</w:t>
      </w:r>
      <w:r w:rsidRPr="002461F5">
        <w:rPr>
          <w:rFonts w:ascii="Arial" w:hAnsi="Arial" w:cs="Arial"/>
        </w:rPr>
        <w:t>.</w:t>
      </w:r>
    </w:p>
    <w:p w14:paraId="7AB05384" w14:textId="77777777" w:rsidR="00C2162E" w:rsidRPr="002461F5" w:rsidRDefault="00C2162E" w:rsidP="00C2162E">
      <w:pPr>
        <w:spacing w:after="160" w:line="240" w:lineRule="atLeast"/>
        <w:jc w:val="both"/>
        <w:rPr>
          <w:rFonts w:ascii="Arial" w:hAnsi="Arial" w:cs="Arial"/>
        </w:rPr>
      </w:pPr>
      <w:r w:rsidRPr="002461F5">
        <w:rPr>
          <w:rFonts w:ascii="Arial" w:hAnsi="Arial" w:cs="Arial"/>
          <w:b/>
        </w:rPr>
        <w:t>Artículo 8°. Campañas de Prevención en Instituciones Educativas y Empresas.</w:t>
      </w:r>
      <w:r w:rsidRPr="002461F5">
        <w:rPr>
          <w:rFonts w:ascii="Arial" w:hAnsi="Arial" w:cs="Arial"/>
        </w:rPr>
        <w:t xml:space="preserve"> El Ministerio de Salud y Protección Social, en coordinación con el Ministerio de Educación Nacional, el Ministerio del Trabajo y los distintos sectores afines a estos, incluyendo al sector privado, desarrollaran estrategias orientadas a la promoción de la salud y prevención de enfermedades oncológicas en la comunidad educativa nacional, así como en los entornos laborales. Estas campañas deberán fomentar una cultura de salud integral en el país, alcanzando a estudiantes, trabajadores y sus familias. </w:t>
      </w:r>
    </w:p>
    <w:p w14:paraId="5980E5B7" w14:textId="77777777" w:rsidR="00C2162E" w:rsidRPr="002461F5" w:rsidRDefault="00C2162E" w:rsidP="00C2162E">
      <w:pPr>
        <w:spacing w:after="160" w:line="240" w:lineRule="atLeast"/>
        <w:jc w:val="both"/>
        <w:rPr>
          <w:rFonts w:ascii="Arial" w:hAnsi="Arial" w:cs="Arial"/>
        </w:rPr>
      </w:pPr>
      <w:r w:rsidRPr="002461F5">
        <w:rPr>
          <w:rFonts w:ascii="Arial" w:hAnsi="Arial" w:cs="Arial"/>
          <w:b/>
        </w:rPr>
        <w:t>Parágrafo.</w:t>
      </w:r>
      <w:r w:rsidRPr="002461F5">
        <w:rPr>
          <w:rFonts w:ascii="Arial" w:hAnsi="Arial" w:cs="Arial"/>
        </w:rPr>
        <w:t xml:space="preserve"> Dentro de las actividades impartidas a la comunidad educativa y a las empresas, se incluirán talleres teórico-prácticos de autoexamen, con el propósito de que tanto estudiantes como </w:t>
      </w:r>
      <w:r w:rsidRPr="002461F5">
        <w:rPr>
          <w:rFonts w:ascii="Arial" w:hAnsi="Arial" w:cs="Arial"/>
        </w:rPr>
        <w:lastRenderedPageBreak/>
        <w:t>trabajadores aprendan a identificar síntomas o advertir la aparición de anomalías en su cuerpo, en concordancia con la instrucción recibida</w:t>
      </w:r>
    </w:p>
    <w:p w14:paraId="40F97393" w14:textId="77777777" w:rsidR="00C2162E" w:rsidRPr="002461F5" w:rsidRDefault="00C2162E" w:rsidP="00C2162E">
      <w:pPr>
        <w:spacing w:after="160" w:line="240" w:lineRule="atLeast"/>
        <w:jc w:val="both"/>
        <w:rPr>
          <w:rFonts w:ascii="Arial" w:hAnsi="Arial" w:cs="Arial"/>
        </w:rPr>
      </w:pPr>
      <w:r w:rsidRPr="002461F5">
        <w:rPr>
          <w:rFonts w:ascii="Arial" w:hAnsi="Arial" w:cs="Arial"/>
          <w:b/>
        </w:rPr>
        <w:t>Artículo 9°. Acciones de Prevención y Detección Temprana del Cáncer.</w:t>
      </w:r>
      <w:r w:rsidRPr="002461F5">
        <w:rPr>
          <w:rFonts w:ascii="Arial" w:hAnsi="Arial" w:cs="Arial"/>
        </w:rPr>
        <w:t xml:space="preserve"> El Gobierno Nacional a través del Ministerio de Salud y Protección Social, así como, sus entidades adscritas y los entes de control,  </w:t>
      </w:r>
      <w:r w:rsidRPr="002461F5">
        <w:rPr>
          <w:rFonts w:ascii="Arial" w:hAnsi="Arial" w:cs="Arial"/>
          <w:color w:val="222222"/>
          <w:highlight w:val="white"/>
        </w:rPr>
        <w:t>rendirán un informe obligatorio anual de evaluación, seguimiento y resultados sobre la ejecución de la política pública sobre sus competencias en relación a la normatividad vigente en materia de cáncer en el país, este informe se rendirá en el primer semestre de cada periodo legislativo, en sesión conjunta ante las Comisiones Séptimas Constitucionales de la Cámara de Representantes y el Senado de la República.</w:t>
      </w:r>
    </w:p>
    <w:p w14:paraId="1D3817BA" w14:textId="5AC8A553" w:rsidR="00C2162E" w:rsidRPr="002461F5" w:rsidRDefault="00C2162E" w:rsidP="00C2162E">
      <w:pPr>
        <w:spacing w:after="160" w:line="240" w:lineRule="atLeast"/>
        <w:jc w:val="both"/>
        <w:rPr>
          <w:rFonts w:ascii="Arial" w:hAnsi="Arial" w:cs="Arial"/>
        </w:rPr>
      </w:pPr>
      <w:r w:rsidRPr="002461F5">
        <w:rPr>
          <w:rFonts w:ascii="Arial" w:hAnsi="Arial" w:cs="Arial"/>
          <w:b/>
        </w:rPr>
        <w:t xml:space="preserve">Artículo 10°. Vigencia. </w:t>
      </w:r>
      <w:r w:rsidRPr="002461F5">
        <w:rPr>
          <w:rFonts w:ascii="Arial" w:hAnsi="Arial" w:cs="Arial"/>
        </w:rPr>
        <w:t>La presente ley rige a partir de la fecha de su sanción y promulgación.</w:t>
      </w:r>
    </w:p>
    <w:p w14:paraId="027A1575" w14:textId="336D9754" w:rsidR="00202596" w:rsidRPr="00202596" w:rsidRDefault="00202596" w:rsidP="00202596">
      <w:pPr>
        <w:spacing w:after="240" w:line="240" w:lineRule="atLeast"/>
        <w:ind w:left="-567" w:right="14"/>
        <w:jc w:val="both"/>
        <w:rPr>
          <w:rFonts w:ascii="Arial" w:eastAsia="Arial" w:hAnsi="Arial" w:cs="Arial"/>
          <w:lang w:eastAsia="es-CO"/>
        </w:rPr>
      </w:pPr>
    </w:p>
    <w:p w14:paraId="454954DE" w14:textId="662118ED" w:rsidR="003206AC" w:rsidRPr="003206AC" w:rsidRDefault="003206AC" w:rsidP="003206AC">
      <w:pPr>
        <w:pStyle w:val="Sinespaciado"/>
        <w:rPr>
          <w:rFonts w:eastAsia="Arial" w:cs="Arial"/>
          <w:b/>
          <w:color w:val="000000"/>
        </w:rPr>
      </w:pPr>
    </w:p>
    <w:p w14:paraId="2949B4EC" w14:textId="77777777" w:rsidR="003206AC" w:rsidRPr="003206AC" w:rsidRDefault="003206AC" w:rsidP="003206AC">
      <w:pPr>
        <w:pStyle w:val="Sinespaciado"/>
        <w:rPr>
          <w:rFonts w:eastAsia="Arial" w:cs="Arial"/>
          <w:b/>
          <w:color w:val="000000"/>
        </w:rPr>
      </w:pPr>
    </w:p>
    <w:p w14:paraId="0BAE8745" w14:textId="77585413" w:rsidR="003206AC" w:rsidRPr="00E73C2A" w:rsidRDefault="00251AB4" w:rsidP="002461F5">
      <w:pPr>
        <w:pStyle w:val="Sinespaciado"/>
        <w:jc w:val="center"/>
        <w:rPr>
          <w:rFonts w:cs="Arial"/>
          <w:b/>
          <w:bCs/>
        </w:rPr>
      </w:pPr>
      <w:r w:rsidRPr="00E73C2A">
        <w:rPr>
          <w:rFonts w:cs="Arial"/>
          <w:b/>
          <w:bCs/>
        </w:rPr>
        <w:t>Camilo Esteban Ávila Morales</w:t>
      </w:r>
      <w:r w:rsidR="00E73C2A" w:rsidRPr="00E73C2A">
        <w:rPr>
          <w:rFonts w:cs="Arial"/>
          <w:b/>
          <w:bCs/>
        </w:rPr>
        <w:tab/>
      </w:r>
      <w:r w:rsidR="00E73C2A" w:rsidRPr="00E73C2A">
        <w:rPr>
          <w:rFonts w:cs="Arial"/>
          <w:b/>
          <w:bCs/>
        </w:rPr>
        <w:tab/>
      </w:r>
      <w:r w:rsidR="00E73C2A" w:rsidRPr="00E73C2A">
        <w:rPr>
          <w:rFonts w:cs="Arial"/>
          <w:b/>
          <w:bCs/>
        </w:rPr>
        <w:tab/>
      </w:r>
      <w:r w:rsidR="00E73C2A" w:rsidRPr="00E73C2A">
        <w:rPr>
          <w:rFonts w:cs="Arial"/>
          <w:b/>
          <w:bCs/>
        </w:rPr>
        <w:tab/>
      </w:r>
      <w:r w:rsidR="00711B0E">
        <w:rPr>
          <w:rFonts w:cs="Arial"/>
          <w:b/>
          <w:bCs/>
        </w:rPr>
        <w:t>Hugo Alfonso Archila Suárez</w:t>
      </w:r>
    </w:p>
    <w:p w14:paraId="41882B1F" w14:textId="13FC1E9B" w:rsidR="003206AC" w:rsidRPr="00E73C2A" w:rsidRDefault="00251AB4" w:rsidP="002461F5">
      <w:pPr>
        <w:pStyle w:val="Sinespaciado"/>
        <w:jc w:val="center"/>
        <w:rPr>
          <w:rFonts w:cs="Arial"/>
        </w:rPr>
      </w:pPr>
      <w:r w:rsidRPr="00E73C2A">
        <w:rPr>
          <w:rFonts w:cs="Arial"/>
        </w:rPr>
        <w:t>Presidente</w:t>
      </w:r>
      <w:r w:rsidR="00E73C2A" w:rsidRPr="00E73C2A">
        <w:rPr>
          <w:rFonts w:cs="Arial"/>
        </w:rPr>
        <w:tab/>
      </w:r>
      <w:r w:rsidR="00E73C2A" w:rsidRPr="00E73C2A">
        <w:rPr>
          <w:rFonts w:cs="Arial"/>
        </w:rPr>
        <w:tab/>
      </w:r>
      <w:r w:rsidR="00E73C2A" w:rsidRPr="00E73C2A">
        <w:rPr>
          <w:rFonts w:cs="Arial"/>
        </w:rPr>
        <w:tab/>
      </w:r>
      <w:r w:rsidR="00E73C2A" w:rsidRPr="00E73C2A">
        <w:rPr>
          <w:rFonts w:cs="Arial"/>
        </w:rPr>
        <w:tab/>
      </w:r>
      <w:r w:rsidR="00E73C2A" w:rsidRPr="00E73C2A">
        <w:rPr>
          <w:rFonts w:cs="Arial"/>
        </w:rPr>
        <w:tab/>
      </w:r>
      <w:r w:rsidR="00E73C2A" w:rsidRPr="00E73C2A">
        <w:rPr>
          <w:rFonts w:cs="Arial"/>
        </w:rPr>
        <w:tab/>
      </w:r>
      <w:r w:rsidR="00E73C2A" w:rsidRPr="00E73C2A">
        <w:rPr>
          <w:rFonts w:cs="Arial"/>
        </w:rPr>
        <w:tab/>
        <w:t>Ponente</w:t>
      </w:r>
      <w:r w:rsidR="00711B0E">
        <w:rPr>
          <w:rFonts w:cs="Arial"/>
        </w:rPr>
        <w:t xml:space="preserve"> único</w:t>
      </w:r>
    </w:p>
    <w:p w14:paraId="1FEB21ED" w14:textId="331E58B9" w:rsidR="003206AC" w:rsidRDefault="003206AC" w:rsidP="002461F5">
      <w:pPr>
        <w:pStyle w:val="Sinespaciado"/>
        <w:jc w:val="center"/>
        <w:rPr>
          <w:rFonts w:cs="Arial"/>
          <w:b/>
          <w:bCs/>
        </w:rPr>
      </w:pPr>
    </w:p>
    <w:p w14:paraId="2E3E8DE5" w14:textId="77777777" w:rsidR="00E41EFE" w:rsidRPr="00E73C2A" w:rsidRDefault="00E41EFE" w:rsidP="002461F5">
      <w:pPr>
        <w:pStyle w:val="Sinespaciado"/>
        <w:jc w:val="center"/>
        <w:rPr>
          <w:rFonts w:cs="Arial"/>
          <w:b/>
          <w:bCs/>
        </w:rPr>
      </w:pPr>
    </w:p>
    <w:p w14:paraId="5E6A55CD" w14:textId="109A6D2B" w:rsidR="00E73C2A" w:rsidRDefault="00E73C2A" w:rsidP="002461F5">
      <w:pPr>
        <w:pStyle w:val="Sinespaciado"/>
        <w:jc w:val="center"/>
        <w:rPr>
          <w:rFonts w:cs="Arial"/>
          <w:b/>
          <w:bCs/>
        </w:rPr>
      </w:pPr>
    </w:p>
    <w:p w14:paraId="0F5ABEED" w14:textId="77777777" w:rsidR="00E73C2A" w:rsidRPr="00E73C2A" w:rsidRDefault="00E73C2A" w:rsidP="002461F5">
      <w:pPr>
        <w:pStyle w:val="Sinespaciado"/>
        <w:jc w:val="center"/>
        <w:rPr>
          <w:rFonts w:cs="Arial"/>
          <w:b/>
          <w:bCs/>
        </w:rPr>
      </w:pPr>
    </w:p>
    <w:p w14:paraId="35A7B6CF" w14:textId="591E98B1" w:rsidR="004E40E9" w:rsidRDefault="004E40E9" w:rsidP="002461F5">
      <w:pPr>
        <w:pStyle w:val="Sinespaciado"/>
        <w:jc w:val="center"/>
        <w:rPr>
          <w:b/>
          <w:bCs/>
        </w:rPr>
      </w:pPr>
      <w:r>
        <w:rPr>
          <w:b/>
          <w:bCs/>
        </w:rPr>
        <w:t>Ricardo Alfonso Albornoz Barreto</w:t>
      </w:r>
    </w:p>
    <w:p w14:paraId="5F81C947" w14:textId="52576024" w:rsidR="00835180" w:rsidRPr="00835180" w:rsidRDefault="004E40E9" w:rsidP="002461F5">
      <w:pPr>
        <w:pStyle w:val="Sinespaciado"/>
        <w:jc w:val="center"/>
      </w:pPr>
      <w:r>
        <w:t>Secretario</w:t>
      </w:r>
    </w:p>
    <w:sectPr w:rsidR="00835180" w:rsidRPr="00835180" w:rsidSect="00507A9C">
      <w:headerReference w:type="default" r:id="rId9"/>
      <w:footerReference w:type="default" r:id="rId10"/>
      <w:type w:val="continuous"/>
      <w:pgSz w:w="12240" w:h="15840" w:code="1"/>
      <w:pgMar w:top="1701" w:right="1021"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7F07" w14:textId="77777777" w:rsidR="002E49B9" w:rsidRDefault="002E49B9">
      <w:pPr>
        <w:spacing w:after="0" w:line="240" w:lineRule="auto"/>
      </w:pPr>
      <w:r>
        <w:separator/>
      </w:r>
    </w:p>
  </w:endnote>
  <w:endnote w:type="continuationSeparator" w:id="0">
    <w:p w14:paraId="4F6D65E3" w14:textId="77777777" w:rsidR="002E49B9" w:rsidRDefault="002E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E230" w14:textId="1AD579C6" w:rsidR="00197D9B" w:rsidRPr="00202596" w:rsidRDefault="0083265E">
    <w:pPr>
      <w:pStyle w:val="Piedepgina"/>
      <w:jc w:val="center"/>
      <w:rPr>
        <w:rFonts w:ascii="Arial" w:hAnsi="Arial" w:cs="Arial"/>
        <w:sz w:val="14"/>
        <w:szCs w:val="14"/>
        <w:lang w:val="es-ES"/>
      </w:rPr>
    </w:pPr>
    <w:r w:rsidRPr="00202596">
      <w:rPr>
        <w:rFonts w:ascii="Arial" w:hAnsi="Arial" w:cs="Arial"/>
        <w:sz w:val="14"/>
        <w:szCs w:val="14"/>
        <w:lang w:val="es-ES"/>
      </w:rPr>
      <w:t xml:space="preserve">Texto definitivo del proyecto de ley </w:t>
    </w:r>
    <w:r w:rsidR="00197D9B" w:rsidRPr="00202596">
      <w:rPr>
        <w:rFonts w:ascii="Arial" w:hAnsi="Arial" w:cs="Arial"/>
        <w:sz w:val="14"/>
        <w:szCs w:val="14"/>
        <w:lang w:val="es-ES"/>
      </w:rPr>
      <w:t>N</w:t>
    </w:r>
    <w:r w:rsidR="00197D9B" w:rsidRPr="00202596">
      <w:rPr>
        <w:rFonts w:ascii="Arial" w:eastAsia="Arial MT" w:hAnsi="Arial" w:cs="Arial"/>
        <w:bCs/>
        <w:sz w:val="14"/>
        <w:szCs w:val="14"/>
        <w:lang w:val="es-ES" w:eastAsia="en-US"/>
      </w:rPr>
      <w:t>o. 6</w:t>
    </w:r>
    <w:r w:rsidR="002461F5">
      <w:rPr>
        <w:rFonts w:ascii="Arial" w:eastAsia="Arial MT" w:hAnsi="Arial" w:cs="Arial"/>
        <w:bCs/>
        <w:sz w:val="14"/>
        <w:szCs w:val="14"/>
        <w:lang w:val="es-ES" w:eastAsia="en-US"/>
      </w:rPr>
      <w:t>03</w:t>
    </w:r>
    <w:r w:rsidR="00197D9B" w:rsidRPr="00202596">
      <w:rPr>
        <w:rFonts w:ascii="Arial" w:eastAsia="Arial MT" w:hAnsi="Arial" w:cs="Arial"/>
        <w:bCs/>
        <w:sz w:val="14"/>
        <w:szCs w:val="14"/>
        <w:lang w:val="es-ES" w:eastAsia="en-US"/>
      </w:rPr>
      <w:t xml:space="preserve"> de 2025 Cámara – </w:t>
    </w:r>
    <w:r w:rsidR="002461F5">
      <w:rPr>
        <w:rFonts w:ascii="Arial" w:eastAsia="Arial MT" w:hAnsi="Arial" w:cs="Arial"/>
        <w:bCs/>
        <w:sz w:val="14"/>
        <w:szCs w:val="14"/>
        <w:lang w:val="es-ES" w:eastAsia="en-US"/>
      </w:rPr>
      <w:t>014</w:t>
    </w:r>
    <w:r w:rsidR="00197D9B" w:rsidRPr="00202596">
      <w:rPr>
        <w:rFonts w:ascii="Arial" w:eastAsia="Arial MT" w:hAnsi="Arial" w:cs="Arial"/>
        <w:bCs/>
        <w:sz w:val="14"/>
        <w:szCs w:val="14"/>
        <w:lang w:val="es-ES" w:eastAsia="en-US"/>
      </w:rPr>
      <w:t xml:space="preserve"> de 2024 Senado</w:t>
    </w:r>
    <w:r w:rsidR="00197D9B" w:rsidRPr="00202596">
      <w:rPr>
        <w:rFonts w:ascii="Arial" w:hAnsi="Arial" w:cs="Arial"/>
        <w:sz w:val="14"/>
        <w:szCs w:val="14"/>
        <w:lang w:val="es-ES"/>
      </w:rPr>
      <w:t xml:space="preserve"> </w:t>
    </w:r>
    <w:r w:rsidRPr="00202596">
      <w:rPr>
        <w:rFonts w:ascii="Arial" w:hAnsi="Arial" w:cs="Arial"/>
        <w:sz w:val="14"/>
        <w:szCs w:val="14"/>
        <w:lang w:val="es-ES"/>
      </w:rPr>
      <w:t xml:space="preserve">aprobado en Comisión </w:t>
    </w:r>
    <w:r w:rsidR="00197D9B" w:rsidRPr="00202596">
      <w:rPr>
        <w:rFonts w:ascii="Arial" w:hAnsi="Arial" w:cs="Arial"/>
        <w:sz w:val="14"/>
        <w:szCs w:val="14"/>
        <w:lang w:val="es-ES"/>
      </w:rPr>
      <w:t>–</w:t>
    </w:r>
    <w:r w:rsidRPr="00202596">
      <w:rPr>
        <w:rFonts w:ascii="Arial" w:hAnsi="Arial" w:cs="Arial"/>
        <w:sz w:val="14"/>
        <w:szCs w:val="14"/>
        <w:lang w:val="es-ES"/>
      </w:rPr>
      <w:t xml:space="preserve"> </w:t>
    </w:r>
  </w:p>
  <w:p w14:paraId="667BE7D8" w14:textId="5105B086" w:rsidR="0083265E" w:rsidRPr="00202596" w:rsidRDefault="0083265E">
    <w:pPr>
      <w:pStyle w:val="Piedepgina"/>
      <w:jc w:val="center"/>
      <w:rPr>
        <w:rFonts w:ascii="Arial" w:hAnsi="Arial" w:cs="Arial"/>
        <w:sz w:val="14"/>
        <w:szCs w:val="14"/>
      </w:rPr>
    </w:pPr>
    <w:r w:rsidRPr="00202596">
      <w:rPr>
        <w:rFonts w:ascii="Arial" w:hAnsi="Arial" w:cs="Arial"/>
        <w:sz w:val="14"/>
        <w:szCs w:val="14"/>
        <w:lang w:val="es-ES"/>
      </w:rPr>
      <w:t xml:space="preserve">Página </w:t>
    </w:r>
    <w:r w:rsidRPr="00202596">
      <w:rPr>
        <w:rFonts w:ascii="Arial" w:hAnsi="Arial" w:cs="Arial"/>
        <w:sz w:val="14"/>
        <w:szCs w:val="14"/>
      </w:rPr>
      <w:fldChar w:fldCharType="begin"/>
    </w:r>
    <w:r w:rsidRPr="00202596">
      <w:rPr>
        <w:rFonts w:ascii="Arial" w:hAnsi="Arial" w:cs="Arial"/>
        <w:sz w:val="14"/>
        <w:szCs w:val="14"/>
      </w:rPr>
      <w:instrText>PAGE  \* Arabic  \* MERGEFORMAT</w:instrText>
    </w:r>
    <w:r w:rsidRPr="00202596">
      <w:rPr>
        <w:rFonts w:ascii="Arial" w:hAnsi="Arial" w:cs="Arial"/>
        <w:sz w:val="14"/>
        <w:szCs w:val="14"/>
      </w:rPr>
      <w:fldChar w:fldCharType="separate"/>
    </w:r>
    <w:r w:rsidR="007D2F62" w:rsidRPr="00202596">
      <w:rPr>
        <w:rFonts w:ascii="Arial" w:hAnsi="Arial" w:cs="Arial"/>
        <w:noProof/>
        <w:sz w:val="14"/>
        <w:szCs w:val="14"/>
        <w:lang w:val="es-ES"/>
      </w:rPr>
      <w:t>1</w:t>
    </w:r>
    <w:r w:rsidRPr="00202596">
      <w:rPr>
        <w:rFonts w:ascii="Arial" w:hAnsi="Arial" w:cs="Arial"/>
        <w:sz w:val="14"/>
        <w:szCs w:val="14"/>
      </w:rPr>
      <w:fldChar w:fldCharType="end"/>
    </w:r>
    <w:r w:rsidRPr="00202596">
      <w:rPr>
        <w:rFonts w:ascii="Arial" w:hAnsi="Arial" w:cs="Arial"/>
        <w:sz w:val="14"/>
        <w:szCs w:val="14"/>
        <w:lang w:val="es-ES"/>
      </w:rPr>
      <w:t xml:space="preserve"> de </w:t>
    </w:r>
    <w:r w:rsidRPr="00202596">
      <w:rPr>
        <w:rFonts w:ascii="Arial" w:hAnsi="Arial" w:cs="Arial"/>
        <w:sz w:val="14"/>
        <w:szCs w:val="14"/>
      </w:rPr>
      <w:fldChar w:fldCharType="begin"/>
    </w:r>
    <w:r w:rsidRPr="00202596">
      <w:rPr>
        <w:rFonts w:ascii="Arial" w:hAnsi="Arial" w:cs="Arial"/>
        <w:sz w:val="14"/>
        <w:szCs w:val="14"/>
      </w:rPr>
      <w:instrText>NUMPAGES  \* Arabic  \* MERGEFORMAT</w:instrText>
    </w:r>
    <w:r w:rsidRPr="00202596">
      <w:rPr>
        <w:rFonts w:ascii="Arial" w:hAnsi="Arial" w:cs="Arial"/>
        <w:sz w:val="14"/>
        <w:szCs w:val="14"/>
      </w:rPr>
      <w:fldChar w:fldCharType="separate"/>
    </w:r>
    <w:r w:rsidR="007D2F62" w:rsidRPr="00202596">
      <w:rPr>
        <w:rFonts w:ascii="Arial" w:hAnsi="Arial" w:cs="Arial"/>
        <w:noProof/>
        <w:sz w:val="14"/>
        <w:szCs w:val="14"/>
        <w:lang w:val="es-ES"/>
      </w:rPr>
      <w:t>1</w:t>
    </w:r>
    <w:r w:rsidRPr="00202596">
      <w:rPr>
        <w:rFonts w:ascii="Arial" w:hAnsi="Arial" w:cs="Arial"/>
        <w:sz w:val="14"/>
        <w:szCs w:val="14"/>
      </w:rPr>
      <w:fldChar w:fldCharType="end"/>
    </w:r>
  </w:p>
  <w:p w14:paraId="3A7A36F1"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0BE5" w14:textId="77777777" w:rsidR="002E49B9" w:rsidRDefault="002E49B9">
      <w:pPr>
        <w:spacing w:after="0" w:line="240" w:lineRule="auto"/>
      </w:pPr>
      <w:r>
        <w:separator/>
      </w:r>
    </w:p>
  </w:footnote>
  <w:footnote w:type="continuationSeparator" w:id="0">
    <w:p w14:paraId="58BAB768" w14:textId="77777777" w:rsidR="002E49B9" w:rsidRDefault="002E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0CD0"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14:anchorId="145CB959" wp14:editId="443F35BE">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8662B8"/>
    <w:multiLevelType w:val="hybridMultilevel"/>
    <w:tmpl w:val="0D105E0C"/>
    <w:lvl w:ilvl="0" w:tplc="33E8D7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9D291C"/>
    <w:multiLevelType w:val="hybridMultilevel"/>
    <w:tmpl w:val="C826F7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A6025E2"/>
    <w:multiLevelType w:val="hybridMultilevel"/>
    <w:tmpl w:val="1A42A682"/>
    <w:lvl w:ilvl="0" w:tplc="8D86C9E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954694"/>
    <w:multiLevelType w:val="hybridMultilevel"/>
    <w:tmpl w:val="BF604C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71F186A"/>
    <w:multiLevelType w:val="multilevel"/>
    <w:tmpl w:val="EDF465B8"/>
    <w:lvl w:ilvl="0">
      <w:start w:val="1"/>
      <w:numFmt w:val="upperRoman"/>
      <w:lvlText w:val="%1."/>
      <w:lvlJc w:val="left"/>
      <w:pPr>
        <w:ind w:left="0" w:firstLine="0"/>
      </w:pPr>
      <w:rPr>
        <w:rFonts w:hint="default"/>
        <w:b/>
        <w:i w:val="0"/>
        <w:sz w:val="22"/>
        <w:szCs w:val="28"/>
        <w:vertAlign w:val="baseline"/>
      </w:rPr>
    </w:lvl>
    <w:lvl w:ilvl="1">
      <w:start w:val="1"/>
      <w:numFmt w:val="decimal"/>
      <w:lvlText w:val="%2."/>
      <w:lvlJc w:val="left"/>
      <w:pPr>
        <w:ind w:left="454" w:hanging="454"/>
      </w:pPr>
      <w:rPr>
        <w:rFonts w:ascii="Arial" w:eastAsia="Arial" w:hAnsi="Arial" w:cs="Arial" w:hint="default"/>
        <w:b w:val="0"/>
        <w:i w:val="0"/>
        <w:sz w:val="22"/>
        <w:szCs w:val="24"/>
        <w:vertAlign w:val="baseline"/>
      </w:rPr>
    </w:lvl>
    <w:lvl w:ilvl="2">
      <w:start w:val="1"/>
      <w:numFmt w:val="bullet"/>
      <w:lvlText w:val="●"/>
      <w:lvlJc w:val="left"/>
      <w:pPr>
        <w:ind w:left="454" w:hanging="454"/>
      </w:pPr>
      <w:rPr>
        <w:rFonts w:ascii="Noto Sans" w:eastAsia="Noto Sans" w:hAnsi="Noto Sans" w:cs="Noto Sans" w:hint="default"/>
        <w:b w:val="0"/>
        <w:i w:val="0"/>
        <w:color w:val="000000"/>
        <w:vertAlign w:val="baseline"/>
      </w:rPr>
    </w:lvl>
    <w:lvl w:ilvl="3">
      <w:start w:val="1"/>
      <w:numFmt w:val="bullet"/>
      <w:lvlText w:val="−"/>
      <w:lvlJc w:val="left"/>
      <w:pPr>
        <w:ind w:left="454" w:hanging="454"/>
      </w:pPr>
      <w:rPr>
        <w:rFonts w:ascii="Noto Sans" w:eastAsia="Noto Sans" w:hAnsi="Noto Sans" w:cs="Noto Sans" w:hint="default"/>
        <w:b w:val="0"/>
        <w:i w:val="0"/>
        <w:color w:val="000000"/>
        <w:vertAlign w:val="baseline"/>
      </w:rPr>
    </w:lvl>
    <w:lvl w:ilvl="4">
      <w:start w:val="1"/>
      <w:numFmt w:val="upperLetter"/>
      <w:lvlText w:val="%5. "/>
      <w:lvlJc w:val="left"/>
      <w:pPr>
        <w:ind w:left="1134" w:hanging="567"/>
      </w:pPr>
      <w:rPr>
        <w:rFonts w:hint="default"/>
        <w:b/>
        <w:i w:val="0"/>
        <w:color w:val="000000"/>
        <w:vertAlign w:val="baseline"/>
      </w:rPr>
    </w:lvl>
    <w:lvl w:ilvl="5">
      <w:start w:val="1"/>
      <w:numFmt w:val="lowerLetter"/>
      <w:lvlText w:val="%6)"/>
      <w:lvlJc w:val="left"/>
      <w:pPr>
        <w:ind w:left="1588" w:hanging="454"/>
      </w:pPr>
      <w:rPr>
        <w:rFonts w:hint="default"/>
        <w:b/>
        <w:i w:val="0"/>
        <w:color w:val="000000"/>
        <w:vertAlign w:val="baseline"/>
      </w:rPr>
    </w:lvl>
    <w:lvl w:ilvl="6">
      <w:start w:val="1"/>
      <w:numFmt w:val="bullet"/>
      <w:lvlText w:val="●"/>
      <w:lvlJc w:val="left"/>
      <w:pPr>
        <w:ind w:left="2155" w:hanging="567"/>
      </w:pPr>
      <w:rPr>
        <w:rFonts w:ascii="Noto Sans" w:eastAsia="Noto Sans" w:hAnsi="Noto Sans" w:cs="Noto Sans" w:hint="default"/>
        <w:color w:val="000000"/>
        <w:vertAlign w:val="baseline"/>
      </w:rPr>
    </w:lvl>
    <w:lvl w:ilvl="7">
      <w:start w:val="1"/>
      <w:numFmt w:val="bullet"/>
      <w:lvlText w:val="−"/>
      <w:lvlJc w:val="left"/>
      <w:pPr>
        <w:ind w:left="2155" w:hanging="567"/>
      </w:pPr>
      <w:rPr>
        <w:rFonts w:ascii="Noto Sans" w:eastAsia="Noto Sans" w:hAnsi="Noto Sans" w:cs="Noto Sans" w:hint="default"/>
        <w:color w:val="000000"/>
        <w:vertAlign w:val="baseline"/>
      </w:rPr>
    </w:lvl>
    <w:lvl w:ilvl="8">
      <w:start w:val="1"/>
      <w:numFmt w:val="decimal"/>
      <w:lvlText w:val="NOTA:"/>
      <w:lvlJc w:val="left"/>
      <w:pPr>
        <w:ind w:left="0" w:firstLine="0"/>
      </w:pPr>
      <w:rPr>
        <w:rFonts w:hint="default"/>
        <w:b/>
        <w:i w:val="0"/>
        <w:vertAlign w:val="baseline"/>
      </w:rPr>
    </w:lvl>
  </w:abstractNum>
  <w:abstractNum w:abstractNumId="21" w15:restartNumberingAfterBreak="0">
    <w:nsid w:val="5A6227FF"/>
    <w:multiLevelType w:val="hybridMultilevel"/>
    <w:tmpl w:val="5AEEB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B55D6A"/>
    <w:multiLevelType w:val="hybridMultilevel"/>
    <w:tmpl w:val="89BEB6CA"/>
    <w:lvl w:ilvl="0" w:tplc="240A000F">
      <w:start w:val="1"/>
      <w:numFmt w:val="decimal"/>
      <w:lvlText w:val="%1."/>
      <w:lvlJc w:val="left"/>
      <w:pPr>
        <w:ind w:left="720" w:hanging="360"/>
      </w:pPr>
    </w:lvl>
    <w:lvl w:ilvl="1" w:tplc="D7CA0348">
      <w:numFmt w:val="bullet"/>
      <w:lvlText w:val=""/>
      <w:lvlJc w:val="left"/>
      <w:pPr>
        <w:ind w:left="1440" w:hanging="360"/>
      </w:pPr>
      <w:rPr>
        <w:rFonts w:ascii="Symbol" w:eastAsia="Calibri" w:hAnsi="Symbol"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E476488"/>
    <w:multiLevelType w:val="hybridMultilevel"/>
    <w:tmpl w:val="5EB600B8"/>
    <w:lvl w:ilvl="0" w:tplc="240A000F">
      <w:start w:val="1"/>
      <w:numFmt w:val="decimal"/>
      <w:lvlText w:val="%1."/>
      <w:lvlJc w:val="left"/>
      <w:pPr>
        <w:ind w:left="720" w:hanging="360"/>
      </w:pPr>
    </w:lvl>
    <w:lvl w:ilvl="1" w:tplc="CC48612E">
      <w:numFmt w:val="bullet"/>
      <w:lvlText w:val=""/>
      <w:lvlJc w:val="left"/>
      <w:pPr>
        <w:ind w:left="1440" w:hanging="360"/>
      </w:pPr>
      <w:rPr>
        <w:rFonts w:ascii="Symbol" w:eastAsia="Calibri" w:hAnsi="Symbol"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E205ABA"/>
    <w:multiLevelType w:val="hybridMultilevel"/>
    <w:tmpl w:val="ADE00F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23"/>
  </w:num>
  <w:num w:numId="5">
    <w:abstractNumId w:val="10"/>
  </w:num>
  <w:num w:numId="6">
    <w:abstractNumId w:val="13"/>
  </w:num>
  <w:num w:numId="7">
    <w:abstractNumId w:val="1"/>
  </w:num>
  <w:num w:numId="8">
    <w:abstractNumId w:val="8"/>
  </w:num>
  <w:num w:numId="9">
    <w:abstractNumId w:val="28"/>
  </w:num>
  <w:num w:numId="10">
    <w:abstractNumId w:val="16"/>
  </w:num>
  <w:num w:numId="11">
    <w:abstractNumId w:val="3"/>
  </w:num>
  <w:num w:numId="12">
    <w:abstractNumId w:val="29"/>
  </w:num>
  <w:num w:numId="13">
    <w:abstractNumId w:val="25"/>
  </w:num>
  <w:num w:numId="14">
    <w:abstractNumId w:val="27"/>
  </w:num>
  <w:num w:numId="15">
    <w:abstractNumId w:val="19"/>
  </w:num>
  <w:num w:numId="16">
    <w:abstractNumId w:val="6"/>
  </w:num>
  <w:num w:numId="17">
    <w:abstractNumId w:val="17"/>
  </w:num>
  <w:num w:numId="18">
    <w:abstractNumId w:val="4"/>
  </w:num>
  <w:num w:numId="19">
    <w:abstractNumId w:val="14"/>
  </w:num>
  <w:num w:numId="20">
    <w:abstractNumId w:val="30"/>
  </w:num>
  <w:num w:numId="21">
    <w:abstractNumId w:val="26"/>
  </w:num>
  <w:num w:numId="22">
    <w:abstractNumId w:val="0"/>
  </w:num>
  <w:num w:numId="23">
    <w:abstractNumId w:val="18"/>
  </w:num>
  <w:num w:numId="24">
    <w:abstractNumId w:val="12"/>
  </w:num>
  <w:num w:numId="25">
    <w:abstractNumId w:val="20"/>
  </w:num>
  <w:num w:numId="26">
    <w:abstractNumId w:val="7"/>
  </w:num>
  <w:num w:numId="27">
    <w:abstractNumId w:val="31"/>
  </w:num>
  <w:num w:numId="28">
    <w:abstractNumId w:val="22"/>
  </w:num>
  <w:num w:numId="29">
    <w:abstractNumId w:val="24"/>
  </w:num>
  <w:num w:numId="30">
    <w:abstractNumId w:val="15"/>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93"/>
    <w:rsid w:val="00004D26"/>
    <w:rsid w:val="00006060"/>
    <w:rsid w:val="000218A0"/>
    <w:rsid w:val="00035A12"/>
    <w:rsid w:val="000D0321"/>
    <w:rsid w:val="000D4049"/>
    <w:rsid w:val="000D59FE"/>
    <w:rsid w:val="000D6D79"/>
    <w:rsid w:val="000E596E"/>
    <w:rsid w:val="000F3249"/>
    <w:rsid w:val="000F3F41"/>
    <w:rsid w:val="00102AC9"/>
    <w:rsid w:val="00106067"/>
    <w:rsid w:val="00123872"/>
    <w:rsid w:val="001303C3"/>
    <w:rsid w:val="00134E23"/>
    <w:rsid w:val="00141A7E"/>
    <w:rsid w:val="00145732"/>
    <w:rsid w:val="00180E10"/>
    <w:rsid w:val="001826C3"/>
    <w:rsid w:val="00193E1C"/>
    <w:rsid w:val="00197D9B"/>
    <w:rsid w:val="001A3661"/>
    <w:rsid w:val="001A5585"/>
    <w:rsid w:val="001B1C28"/>
    <w:rsid w:val="001B48EE"/>
    <w:rsid w:val="001B6E7B"/>
    <w:rsid w:val="001C10AB"/>
    <w:rsid w:val="001C6DF6"/>
    <w:rsid w:val="001F2842"/>
    <w:rsid w:val="001F7A2A"/>
    <w:rsid w:val="00202596"/>
    <w:rsid w:val="00217B1E"/>
    <w:rsid w:val="00223BDC"/>
    <w:rsid w:val="00227978"/>
    <w:rsid w:val="00245986"/>
    <w:rsid w:val="002461F5"/>
    <w:rsid w:val="0024670B"/>
    <w:rsid w:val="00251AB4"/>
    <w:rsid w:val="00273C01"/>
    <w:rsid w:val="00290644"/>
    <w:rsid w:val="002A1BAF"/>
    <w:rsid w:val="002C21DA"/>
    <w:rsid w:val="002E49B9"/>
    <w:rsid w:val="002E6C1D"/>
    <w:rsid w:val="003206AC"/>
    <w:rsid w:val="00330383"/>
    <w:rsid w:val="00332B24"/>
    <w:rsid w:val="003343A2"/>
    <w:rsid w:val="00344B4D"/>
    <w:rsid w:val="00374FCF"/>
    <w:rsid w:val="00375224"/>
    <w:rsid w:val="00392FE1"/>
    <w:rsid w:val="003B3F8A"/>
    <w:rsid w:val="003C3541"/>
    <w:rsid w:val="003C5D20"/>
    <w:rsid w:val="003D08DE"/>
    <w:rsid w:val="003D5D35"/>
    <w:rsid w:val="003F3E4F"/>
    <w:rsid w:val="00401837"/>
    <w:rsid w:val="00484475"/>
    <w:rsid w:val="0049721E"/>
    <w:rsid w:val="004B0124"/>
    <w:rsid w:val="004C3EB2"/>
    <w:rsid w:val="004D631D"/>
    <w:rsid w:val="004E060F"/>
    <w:rsid w:val="004E40E9"/>
    <w:rsid w:val="004F0BC8"/>
    <w:rsid w:val="005004BD"/>
    <w:rsid w:val="00507A9C"/>
    <w:rsid w:val="00523CF6"/>
    <w:rsid w:val="00533F5F"/>
    <w:rsid w:val="00545AF9"/>
    <w:rsid w:val="0057061D"/>
    <w:rsid w:val="005970FF"/>
    <w:rsid w:val="005A42A7"/>
    <w:rsid w:val="005B163A"/>
    <w:rsid w:val="005B79B2"/>
    <w:rsid w:val="005C4915"/>
    <w:rsid w:val="006020FC"/>
    <w:rsid w:val="0061013F"/>
    <w:rsid w:val="00644D12"/>
    <w:rsid w:val="00645D96"/>
    <w:rsid w:val="0066551C"/>
    <w:rsid w:val="00676A02"/>
    <w:rsid w:val="006A6E00"/>
    <w:rsid w:val="006A6E52"/>
    <w:rsid w:val="006D531F"/>
    <w:rsid w:val="006E594C"/>
    <w:rsid w:val="00703BB5"/>
    <w:rsid w:val="00711B0E"/>
    <w:rsid w:val="00722B7D"/>
    <w:rsid w:val="00745DA4"/>
    <w:rsid w:val="00751A35"/>
    <w:rsid w:val="007576E4"/>
    <w:rsid w:val="00767847"/>
    <w:rsid w:val="00780935"/>
    <w:rsid w:val="00793F4D"/>
    <w:rsid w:val="007D2959"/>
    <w:rsid w:val="007D2F62"/>
    <w:rsid w:val="007D3C92"/>
    <w:rsid w:val="007F0D11"/>
    <w:rsid w:val="0080316C"/>
    <w:rsid w:val="0083265E"/>
    <w:rsid w:val="00835180"/>
    <w:rsid w:val="00842BD4"/>
    <w:rsid w:val="00856BE4"/>
    <w:rsid w:val="008571E9"/>
    <w:rsid w:val="00874E4E"/>
    <w:rsid w:val="008818F4"/>
    <w:rsid w:val="008A36E1"/>
    <w:rsid w:val="008A4907"/>
    <w:rsid w:val="008A4A9B"/>
    <w:rsid w:val="008C5481"/>
    <w:rsid w:val="008E2412"/>
    <w:rsid w:val="008E689B"/>
    <w:rsid w:val="008F1E88"/>
    <w:rsid w:val="008F518D"/>
    <w:rsid w:val="00900D93"/>
    <w:rsid w:val="00931B69"/>
    <w:rsid w:val="00980D46"/>
    <w:rsid w:val="00984A08"/>
    <w:rsid w:val="009A5477"/>
    <w:rsid w:val="009B189B"/>
    <w:rsid w:val="009B5502"/>
    <w:rsid w:val="009E1B8B"/>
    <w:rsid w:val="009E3F42"/>
    <w:rsid w:val="00A10DC4"/>
    <w:rsid w:val="00A16412"/>
    <w:rsid w:val="00A260C7"/>
    <w:rsid w:val="00A27D65"/>
    <w:rsid w:val="00A549FD"/>
    <w:rsid w:val="00A5673E"/>
    <w:rsid w:val="00AA5167"/>
    <w:rsid w:val="00AC09C4"/>
    <w:rsid w:val="00AC2952"/>
    <w:rsid w:val="00AF4493"/>
    <w:rsid w:val="00AF47C1"/>
    <w:rsid w:val="00AF7901"/>
    <w:rsid w:val="00B31264"/>
    <w:rsid w:val="00B41338"/>
    <w:rsid w:val="00B4204B"/>
    <w:rsid w:val="00B47081"/>
    <w:rsid w:val="00B57363"/>
    <w:rsid w:val="00B61831"/>
    <w:rsid w:val="00B94C52"/>
    <w:rsid w:val="00BA2504"/>
    <w:rsid w:val="00BA6354"/>
    <w:rsid w:val="00BA6CF0"/>
    <w:rsid w:val="00BD3B0E"/>
    <w:rsid w:val="00BF038C"/>
    <w:rsid w:val="00BF0C76"/>
    <w:rsid w:val="00BF32C7"/>
    <w:rsid w:val="00BF5872"/>
    <w:rsid w:val="00BF5DE4"/>
    <w:rsid w:val="00C04298"/>
    <w:rsid w:val="00C0783C"/>
    <w:rsid w:val="00C10A0F"/>
    <w:rsid w:val="00C2162E"/>
    <w:rsid w:val="00C24F1B"/>
    <w:rsid w:val="00C25C47"/>
    <w:rsid w:val="00C25E24"/>
    <w:rsid w:val="00C64587"/>
    <w:rsid w:val="00C85EE9"/>
    <w:rsid w:val="00CA7A0C"/>
    <w:rsid w:val="00CF241E"/>
    <w:rsid w:val="00D16302"/>
    <w:rsid w:val="00D410FE"/>
    <w:rsid w:val="00D65C9D"/>
    <w:rsid w:val="00D7060A"/>
    <w:rsid w:val="00D7787B"/>
    <w:rsid w:val="00DC1FF5"/>
    <w:rsid w:val="00E02D4A"/>
    <w:rsid w:val="00E2082D"/>
    <w:rsid w:val="00E27292"/>
    <w:rsid w:val="00E41EFE"/>
    <w:rsid w:val="00E73C2A"/>
    <w:rsid w:val="00EB3579"/>
    <w:rsid w:val="00ED4980"/>
    <w:rsid w:val="00EF5B1B"/>
    <w:rsid w:val="00F04E2C"/>
    <w:rsid w:val="00F25E2F"/>
    <w:rsid w:val="00F42CA9"/>
    <w:rsid w:val="00F50D3E"/>
    <w:rsid w:val="00F66F0B"/>
    <w:rsid w:val="00F67633"/>
    <w:rsid w:val="00F718B4"/>
    <w:rsid w:val="00F81F67"/>
    <w:rsid w:val="00F923A0"/>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4A3A1"/>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E78B3F-D95D-4475-8AD0-7299E3A9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1645</Words>
  <Characters>9050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2025-08-19T22:19:00Z</cp:lastPrinted>
  <dcterms:created xsi:type="dcterms:W3CDTF">2025-09-18T16:57:00Z</dcterms:created>
  <dcterms:modified xsi:type="dcterms:W3CDTF">2025-09-18T17:23:00Z</dcterms:modified>
</cp:coreProperties>
</file>